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9" w:rsidRDefault="00010609" w:rsidP="008E1B59">
      <w:pPr>
        <w:spacing w:after="0" w:line="240" w:lineRule="auto"/>
        <w:ind w:left="0" w:right="0" w:firstLine="0"/>
      </w:pPr>
      <w:r>
        <w:t xml:space="preserve">                                                                                                        </w:t>
      </w:r>
    </w:p>
    <w:p w:rsidR="00010609" w:rsidRDefault="00010609" w:rsidP="008E1B59">
      <w:pPr>
        <w:spacing w:after="0" w:line="240" w:lineRule="auto"/>
        <w:ind w:left="0" w:right="0" w:firstLine="0"/>
      </w:pPr>
    </w:p>
    <w:p w:rsidR="00C762E2" w:rsidRDefault="00C762E2" w:rsidP="00C762E2">
      <w:pPr>
        <w:spacing w:after="0" w:line="240" w:lineRule="auto"/>
        <w:ind w:left="0" w:right="0" w:firstLine="708"/>
        <w:jc w:val="center"/>
      </w:pPr>
      <w:r>
        <w:t>Н</w:t>
      </w:r>
      <w:r>
        <w:t>аиболее посещаемые страны из числа неблагополучных по инфекционным заболеваниям, которые могут представлять чрезвычайную ситуацию в области общественного здравоохранения</w:t>
      </w:r>
      <w:r>
        <w:t>.</w:t>
      </w:r>
    </w:p>
    <w:p w:rsidR="00C762E2" w:rsidRDefault="00C762E2" w:rsidP="008E1B59">
      <w:pPr>
        <w:spacing w:after="0" w:line="240" w:lineRule="auto"/>
        <w:ind w:left="0" w:right="0" w:firstLine="708"/>
      </w:pPr>
      <w:r>
        <w:t xml:space="preserve"> </w:t>
      </w:r>
    </w:p>
    <w:p w:rsidR="003862DC" w:rsidRDefault="00951F12" w:rsidP="008E1B59">
      <w:pPr>
        <w:spacing w:after="0" w:line="240" w:lineRule="auto"/>
        <w:ind w:left="0" w:right="0" w:firstLine="708"/>
      </w:pPr>
      <w:r>
        <w:t>С</w:t>
      </w:r>
      <w:r w:rsidR="00BF0EED">
        <w:t xml:space="preserve">огласно информации, представленной Министерством спорта и туризма </w:t>
      </w:r>
      <w:r w:rsidR="00BF0EED">
        <w:rPr>
          <w:noProof/>
        </w:rPr>
        <w:drawing>
          <wp:inline distT="0" distB="0" distL="0" distR="0">
            <wp:extent cx="18294" cy="22869"/>
            <wp:effectExtent l="0" t="0" r="0" b="0"/>
            <wp:docPr id="11854" name="Picture 1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" name="Picture 118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EED">
        <w:t xml:space="preserve">Республики Беларусь, наиболее популярными странами для </w:t>
      </w:r>
      <w:r w:rsidR="00BF0EED">
        <w:rPr>
          <w:noProof/>
        </w:rPr>
        <w:drawing>
          <wp:inline distT="0" distB="0" distL="0" distR="0">
            <wp:extent cx="18294" cy="9147"/>
            <wp:effectExtent l="0" t="0" r="0" b="0"/>
            <wp:docPr id="11856" name="Picture 1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6" name="Picture 118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EED">
        <w:t>путешествий у потребителей туристического продукта в Республике Беларусь за период 2022-2024 являлись:</w:t>
      </w:r>
    </w:p>
    <w:p w:rsidR="00BF0EED" w:rsidRDefault="00BF0EED" w:rsidP="008E1B59">
      <w:pPr>
        <w:spacing w:after="0" w:line="240" w:lineRule="auto"/>
        <w:ind w:left="0" w:right="0" w:firstLine="708"/>
      </w:pPr>
    </w:p>
    <w:tbl>
      <w:tblPr>
        <w:tblStyle w:val="a4"/>
        <w:tblW w:w="9590" w:type="dxa"/>
        <w:tblLook w:val="04A0" w:firstRow="1" w:lastRow="0" w:firstColumn="1" w:lastColumn="0" w:noHBand="0" w:noVBand="1"/>
      </w:tblPr>
      <w:tblGrid>
        <w:gridCol w:w="2397"/>
        <w:gridCol w:w="2397"/>
        <w:gridCol w:w="2398"/>
        <w:gridCol w:w="2398"/>
      </w:tblGrid>
      <w:tr w:rsidR="00BF0EED" w:rsidTr="00BF0EED">
        <w:tc>
          <w:tcPr>
            <w:tcW w:w="2397" w:type="dxa"/>
            <w:vMerge w:val="restart"/>
          </w:tcPr>
          <w:p w:rsidR="00BF0EED" w:rsidRPr="00BF0EED" w:rsidRDefault="00BF0EED" w:rsidP="008E1B59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Страны</w:t>
            </w:r>
          </w:p>
        </w:tc>
        <w:tc>
          <w:tcPr>
            <w:tcW w:w="7193" w:type="dxa"/>
            <w:gridSpan w:val="3"/>
          </w:tcPr>
          <w:p w:rsidR="00BF0EED" w:rsidRPr="00BF0EED" w:rsidRDefault="00BF0EED" w:rsidP="008E1B59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Количество туров</w:t>
            </w:r>
          </w:p>
        </w:tc>
      </w:tr>
      <w:tr w:rsidR="00BF0EED" w:rsidTr="00BF0EED">
        <w:tc>
          <w:tcPr>
            <w:tcW w:w="2397" w:type="dxa"/>
            <w:vMerge/>
          </w:tcPr>
          <w:p w:rsidR="00BF0EED" w:rsidRPr="00BF0EED" w:rsidRDefault="00BF0EED" w:rsidP="008E1B59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BF0EED" w:rsidRPr="00BF0EED" w:rsidRDefault="00BF0EED" w:rsidP="008E1B59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2022</w:t>
            </w:r>
          </w:p>
        </w:tc>
        <w:tc>
          <w:tcPr>
            <w:tcW w:w="2398" w:type="dxa"/>
          </w:tcPr>
          <w:p w:rsidR="00BF0EED" w:rsidRPr="00BF0EED" w:rsidRDefault="00BF0EED" w:rsidP="008E1B59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2023</w:t>
            </w:r>
          </w:p>
        </w:tc>
        <w:tc>
          <w:tcPr>
            <w:tcW w:w="2398" w:type="dxa"/>
          </w:tcPr>
          <w:p w:rsidR="00BF0EED" w:rsidRPr="00BF0EED" w:rsidRDefault="00BF0EED" w:rsidP="008E1B59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2024</w:t>
            </w:r>
          </w:p>
        </w:tc>
      </w:tr>
      <w:tr w:rsidR="00BF0EED" w:rsidTr="00BF0EED">
        <w:tc>
          <w:tcPr>
            <w:tcW w:w="2397" w:type="dxa"/>
            <w:vAlign w:val="bottom"/>
          </w:tcPr>
          <w:p w:rsidR="00BF0EED" w:rsidRPr="00BF0EED" w:rsidRDefault="00BF0EED" w:rsidP="00BF0EED">
            <w:pPr>
              <w:spacing w:after="0" w:line="259" w:lineRule="auto"/>
              <w:ind w:left="96" w:right="0" w:firstLine="0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Турция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96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104 224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238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132 806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94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151 353</w:t>
            </w:r>
          </w:p>
        </w:tc>
      </w:tr>
      <w:tr w:rsidR="00BF0EED" w:rsidTr="00BF0EED"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03" w:right="98" w:hanging="7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82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74 718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216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108 221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94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139 043</w:t>
            </w:r>
          </w:p>
        </w:tc>
      </w:tr>
      <w:tr w:rsidR="00BF0EED" w:rsidTr="00BF0EED">
        <w:tc>
          <w:tcPr>
            <w:tcW w:w="2397" w:type="dxa"/>
            <w:vAlign w:val="bottom"/>
          </w:tcPr>
          <w:p w:rsidR="00BF0EED" w:rsidRPr="00BF0EED" w:rsidRDefault="00BF0EED" w:rsidP="00BF0EED">
            <w:pPr>
              <w:spacing w:after="0" w:line="259" w:lineRule="auto"/>
              <w:ind w:left="104" w:right="0" w:firstLine="0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Египет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03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50 850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230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77 048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97 582</w:t>
            </w:r>
          </w:p>
        </w:tc>
      </w:tr>
      <w:tr w:rsidR="00BF0EED" w:rsidTr="00BF0EED"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18" w:right="0" w:firstLine="0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Объединенные</w:t>
            </w:r>
          </w:p>
          <w:p w:rsidR="00BF0EED" w:rsidRPr="00BF0EED" w:rsidRDefault="00BF0EED" w:rsidP="00BF0EED">
            <w:pPr>
              <w:spacing w:after="0" w:line="259" w:lineRule="auto"/>
              <w:ind w:left="118" w:right="437" w:hanging="14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Арабские Эмираты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11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30 484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252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65 806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65 882</w:t>
            </w:r>
          </w:p>
        </w:tc>
      </w:tr>
      <w:tr w:rsidR="00BF0EED" w:rsidTr="00BF0EED">
        <w:tc>
          <w:tcPr>
            <w:tcW w:w="2397" w:type="dxa"/>
            <w:vAlign w:val="bottom"/>
          </w:tcPr>
          <w:p w:rsidR="00BF0EED" w:rsidRPr="00BF0EED" w:rsidRDefault="00BF0EED" w:rsidP="00BF0EED">
            <w:pPr>
              <w:spacing w:after="0" w:line="259" w:lineRule="auto"/>
              <w:ind w:left="118" w:right="0" w:firstLine="0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Грузия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25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21 336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274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30 312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40 161</w:t>
            </w:r>
          </w:p>
        </w:tc>
      </w:tr>
      <w:tr w:rsidR="00BF0EED" w:rsidTr="00BF0EED">
        <w:tc>
          <w:tcPr>
            <w:tcW w:w="2397" w:type="dxa"/>
            <w:vAlign w:val="bottom"/>
          </w:tcPr>
          <w:p w:rsidR="00BF0EED" w:rsidRPr="00BF0EED" w:rsidRDefault="00BF0EED" w:rsidP="00BF0EED">
            <w:pPr>
              <w:spacing w:after="0" w:line="259" w:lineRule="auto"/>
              <w:ind w:left="118" w:right="0" w:firstLine="0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Италия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54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8 307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619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381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137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20 104</w:t>
            </w:r>
          </w:p>
        </w:tc>
      </w:tr>
      <w:tr w:rsidR="00BF0EED" w:rsidTr="00BF0EED">
        <w:tc>
          <w:tcPr>
            <w:tcW w:w="2397" w:type="dxa"/>
            <w:vAlign w:val="bottom"/>
          </w:tcPr>
          <w:p w:rsidR="00BF0EED" w:rsidRPr="00BF0EED" w:rsidRDefault="00BF0EED" w:rsidP="00BF0EED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Китай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68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18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302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1917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166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10 883</w:t>
            </w:r>
          </w:p>
        </w:tc>
      </w:tr>
      <w:tr w:rsidR="00BF0EED" w:rsidTr="00BF0EED">
        <w:tc>
          <w:tcPr>
            <w:tcW w:w="2397" w:type="dxa"/>
            <w:vAlign w:val="bottom"/>
          </w:tcPr>
          <w:p w:rsidR="00BF0EED" w:rsidRPr="00BF0EED" w:rsidRDefault="00BF0EED" w:rsidP="00BF0EED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Греция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61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6 540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663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234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151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10 381</w:t>
            </w:r>
          </w:p>
        </w:tc>
      </w:tr>
      <w:tr w:rsidR="00BF0EED" w:rsidTr="00BF0EED">
        <w:tc>
          <w:tcPr>
            <w:tcW w:w="2397" w:type="dxa"/>
            <w:vAlign w:val="bottom"/>
          </w:tcPr>
          <w:p w:rsidR="00BF0EED" w:rsidRPr="00BF0EED" w:rsidRDefault="00BF0EED" w:rsidP="00BF0EED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Таиланд</w:t>
            </w:r>
          </w:p>
        </w:tc>
        <w:tc>
          <w:tcPr>
            <w:tcW w:w="2397" w:type="dxa"/>
          </w:tcPr>
          <w:p w:rsidR="00BF0EED" w:rsidRPr="00BF0EED" w:rsidRDefault="00BF0EED" w:rsidP="00BF0EED">
            <w:pPr>
              <w:spacing w:after="0" w:line="259" w:lineRule="auto"/>
              <w:ind w:left="154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905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274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4 521</w:t>
            </w:r>
          </w:p>
        </w:tc>
        <w:tc>
          <w:tcPr>
            <w:tcW w:w="2398" w:type="dxa"/>
          </w:tcPr>
          <w:p w:rsidR="00BF0EED" w:rsidRPr="00BF0EED" w:rsidRDefault="00BF0EED" w:rsidP="00BF0EED">
            <w:pPr>
              <w:spacing w:after="0" w:line="259" w:lineRule="auto"/>
              <w:ind w:left="166" w:right="0" w:firstLine="0"/>
              <w:jc w:val="center"/>
              <w:rPr>
                <w:sz w:val="28"/>
                <w:szCs w:val="28"/>
              </w:rPr>
            </w:pPr>
            <w:r w:rsidRPr="00BF0EED">
              <w:rPr>
                <w:sz w:val="28"/>
                <w:szCs w:val="28"/>
              </w:rPr>
              <w:t>9 432</w:t>
            </w:r>
          </w:p>
        </w:tc>
      </w:tr>
    </w:tbl>
    <w:p w:rsidR="008E1B59" w:rsidRDefault="008E1B59" w:rsidP="008E1B59">
      <w:pPr>
        <w:spacing w:after="0" w:line="240" w:lineRule="auto"/>
        <w:ind w:left="0" w:right="0" w:firstLine="708"/>
      </w:pPr>
    </w:p>
    <w:p w:rsidR="003862DC" w:rsidRDefault="00BF0EED">
      <w:pPr>
        <w:ind w:left="172" w:right="0" w:firstLine="742"/>
      </w:pPr>
      <w:r>
        <w:t>1. в наиболее посещаемые страны из числа неблагополучных по инфекционным заболеваниям, которые могут представлять чрезвычайную ситуацию в области общественного здравоохранения санитарно-эпидемиологического характера:</w:t>
      </w:r>
    </w:p>
    <w:p w:rsidR="003862DC" w:rsidRDefault="00BF0EED">
      <w:pPr>
        <w:ind w:left="172" w:right="0" w:firstLine="684"/>
      </w:pPr>
      <w:r>
        <w:t>Египет (Лихорадка Рифт-</w:t>
      </w:r>
      <w:proofErr w:type="spellStart"/>
      <w:r>
        <w:t>Валли</w:t>
      </w:r>
      <w:proofErr w:type="spellEnd"/>
      <w:r>
        <w:t xml:space="preserve">, лихорадка денге) </w:t>
      </w:r>
      <w:r w:rsidR="00010609">
        <w:t>-</w:t>
      </w:r>
      <w:r>
        <w:t xml:space="preserve"> в 1,9 раза по сравнению с 2022 г.,</w:t>
      </w:r>
    </w:p>
    <w:p w:rsidR="003862DC" w:rsidRDefault="00BF0EED">
      <w:pPr>
        <w:ind w:left="172" w:right="0" w:firstLine="706"/>
      </w:pPr>
      <w:r>
        <w:t>Объединенные Арабские Эмираты (</w:t>
      </w:r>
      <w:proofErr w:type="spellStart"/>
      <w:r>
        <w:t>коронавирус</w:t>
      </w:r>
      <w:proofErr w:type="spellEnd"/>
      <w:r>
        <w:t xml:space="preserve"> ближневосточного респираторного синдрома) </w:t>
      </w:r>
      <w:r w:rsidR="00010609">
        <w:t>-</w:t>
      </w:r>
      <w:r>
        <w:t xml:space="preserve"> в 2, 1 раза соответственно;</w:t>
      </w:r>
    </w:p>
    <w:p w:rsidR="003862DC" w:rsidRDefault="00BF0EED">
      <w:pPr>
        <w:ind w:left="889" w:right="0"/>
      </w:pPr>
      <w:r>
        <w:t xml:space="preserve">Таиланд </w:t>
      </w:r>
      <w:r w:rsidR="00010609">
        <w:t>-</w:t>
      </w:r>
      <w:r>
        <w:t xml:space="preserve"> (лихорадка денге, холера) </w:t>
      </w:r>
      <w:r w:rsidR="00010609">
        <w:t>-</w:t>
      </w:r>
      <w:r>
        <w:t xml:space="preserve"> в 10 раз;</w:t>
      </w:r>
    </w:p>
    <w:p w:rsidR="003862DC" w:rsidRDefault="00BF0EED">
      <w:pPr>
        <w:ind w:left="882" w:right="0"/>
      </w:pPr>
      <w:r>
        <w:t>Китай (чума, лихорадка денге)</w:t>
      </w:r>
      <w:r w:rsidR="00010609">
        <w:t xml:space="preserve"> -</w:t>
      </w:r>
      <w:r>
        <w:t xml:space="preserve"> в 2,1 раза по сравнению с 2023 г.</w:t>
      </w:r>
    </w:p>
    <w:p w:rsidR="003862DC" w:rsidRDefault="00BF0EED">
      <w:pPr>
        <w:ind w:left="172" w:right="0" w:firstLine="699"/>
      </w:pPr>
      <w:r>
        <w:t>2</w:t>
      </w:r>
      <w:r w:rsidR="008E1B59">
        <w:t>.</w:t>
      </w:r>
      <w:r>
        <w:t xml:space="preserve"> в остальные страны, неблагополучные по инфекционным заболеваниям, которые могут представлять чрезвычайную ситуацию в области общественного здравоохранения, имеющую международное значение (более 1000 туров в 2024 году):</w:t>
      </w:r>
    </w:p>
    <w:p w:rsidR="003862DC" w:rsidRDefault="00BF0EED">
      <w:pPr>
        <w:ind w:left="172" w:right="0" w:firstLine="699"/>
      </w:pPr>
      <w:r>
        <w:t>Вьетнам (чума, лихорадка денге) 1855 туров, в 1</w:t>
      </w:r>
      <w:r w:rsidR="00010609">
        <w:t xml:space="preserve">3,6 раз по сравнению с 2022 г. </w:t>
      </w:r>
    </w:p>
    <w:p w:rsidR="003862DC" w:rsidRDefault="00BF0EED">
      <w:pPr>
        <w:ind w:left="172" w:right="0" w:firstLine="706"/>
      </w:pPr>
      <w:r>
        <w:t xml:space="preserve">Венесуэла (чума, лихорадка денге, желтая лихорадка) </w:t>
      </w:r>
      <w:r w:rsidR="00010609">
        <w:t>-</w:t>
      </w:r>
      <w:r>
        <w:t xml:space="preserve"> 247, рост в 1,5 раза соответственно;</w:t>
      </w:r>
    </w:p>
    <w:p w:rsidR="003862DC" w:rsidRDefault="00BF0EED">
      <w:pPr>
        <w:ind w:left="903" w:right="0"/>
      </w:pPr>
      <w:r>
        <w:lastRenderedPageBreak/>
        <w:t xml:space="preserve">Индонезия (лихорадка денге) </w:t>
      </w:r>
      <w:r w:rsidR="00010609">
        <w:t>-</w:t>
      </w:r>
      <w:r>
        <w:t xml:space="preserve"> 1470, в 10 раз;</w:t>
      </w:r>
    </w:p>
    <w:p w:rsidR="003862DC" w:rsidRDefault="00BF0EED">
      <w:pPr>
        <w:ind w:left="896" w:right="0"/>
      </w:pPr>
      <w:r>
        <w:t xml:space="preserve">Индия (лихорадка денге, холера) </w:t>
      </w:r>
      <w:r w:rsidR="00010609">
        <w:t>-</w:t>
      </w:r>
      <w:r>
        <w:t xml:space="preserve"> 1313, в 2,6 раз;</w:t>
      </w:r>
      <w:r>
        <w:rPr>
          <w:noProof/>
        </w:rPr>
        <w:drawing>
          <wp:inline distT="0" distB="0" distL="0" distR="0">
            <wp:extent cx="4574" cy="13721"/>
            <wp:effectExtent l="0" t="0" r="0" b="0"/>
            <wp:docPr id="11861" name="Picture 1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" name="Picture 118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DC" w:rsidRDefault="00BF0EED">
      <w:pPr>
        <w:ind w:left="172" w:right="0" w:firstLine="713"/>
      </w:pPr>
      <w:r>
        <w:t>Катар (</w:t>
      </w:r>
      <w:proofErr w:type="spellStart"/>
      <w:r>
        <w:t>коронавирус</w:t>
      </w:r>
      <w:proofErr w:type="spellEnd"/>
      <w:r>
        <w:t xml:space="preserve"> ближневосточного респираторного синдрома) </w:t>
      </w:r>
      <w:r w:rsidR="00010609">
        <w:t>-</w:t>
      </w:r>
      <w:r>
        <w:t xml:space="preserve"> 5611, в 400 раз;</w:t>
      </w:r>
    </w:p>
    <w:p w:rsidR="003862DC" w:rsidRDefault="00BF0EED">
      <w:pPr>
        <w:ind w:left="903" w:right="0"/>
      </w:pPr>
      <w:r>
        <w:t xml:space="preserve">Куба (лихорадка денге) </w:t>
      </w:r>
      <w:r w:rsidR="00010609">
        <w:t>-</w:t>
      </w:r>
      <w:r>
        <w:t xml:space="preserve"> 4969, в 3,7 раза;</w:t>
      </w:r>
    </w:p>
    <w:p w:rsidR="003862DC" w:rsidRDefault="00BF0EED">
      <w:pPr>
        <w:ind w:left="911" w:right="0"/>
      </w:pPr>
      <w:r>
        <w:t>Маврикий (лихорадка денге) 168, в 1,3 раза;</w:t>
      </w:r>
    </w:p>
    <w:p w:rsidR="003862DC" w:rsidRDefault="00BF0EED">
      <w:pPr>
        <w:ind w:left="903" w:right="0"/>
      </w:pPr>
      <w:r>
        <w:t xml:space="preserve">Малайзия (лихорадка денге, холера) </w:t>
      </w:r>
      <w:r w:rsidR="00010609">
        <w:t>-</w:t>
      </w:r>
      <w:r>
        <w:t xml:space="preserve"> 277, в 34 раза;</w:t>
      </w:r>
    </w:p>
    <w:p w:rsidR="003862DC" w:rsidRDefault="00BF0EED">
      <w:pPr>
        <w:ind w:left="925" w:right="0"/>
      </w:pPr>
      <w:r>
        <w:t xml:space="preserve">Сингапур (лихорадка денге, холера) </w:t>
      </w:r>
      <w:r w:rsidR="00010609">
        <w:t>-</w:t>
      </w:r>
      <w:r>
        <w:t xml:space="preserve"> 109, в 13 раз;</w:t>
      </w:r>
    </w:p>
    <w:p w:rsidR="003862DC" w:rsidRDefault="00BF0EED">
      <w:pPr>
        <w:ind w:left="911" w:right="238"/>
      </w:pPr>
      <w:r>
        <w:t>Тунис (лихорадка Рифт-</w:t>
      </w:r>
      <w:proofErr w:type="spellStart"/>
      <w:r>
        <w:t>Валли</w:t>
      </w:r>
      <w:proofErr w:type="spellEnd"/>
      <w:r>
        <w:t xml:space="preserve">, лихорадка денге) 110, в 2,3 раза; Филиппины (лихорадка денге, холера) </w:t>
      </w:r>
      <w:r w:rsidR="00010609">
        <w:t>-</w:t>
      </w:r>
      <w:r>
        <w:t xml:space="preserve"> 106, в 35 раз; Шри Ланка (лихорадка денге) </w:t>
      </w:r>
      <w:r w:rsidR="00010609">
        <w:t>-</w:t>
      </w:r>
      <w:r>
        <w:t xml:space="preserve"> 5931, в 6,7 раз.</w:t>
      </w:r>
    </w:p>
    <w:p w:rsidR="003862DC" w:rsidRDefault="00BF0EED">
      <w:pPr>
        <w:ind w:left="172" w:right="0" w:firstLine="706"/>
      </w:pPr>
      <w:r>
        <w:t>Отмечается достаточно стабильный (без тенденции к росту) спрос на путешествия в следующие страны:</w:t>
      </w:r>
    </w:p>
    <w:p w:rsidR="003862DC" w:rsidRDefault="00BF0EED">
      <w:pPr>
        <w:ind w:left="172" w:right="0" w:firstLine="699"/>
      </w:pPr>
      <w:r>
        <w:t xml:space="preserve">Танзания (чума, холера, лихорадка Марбург, лихорадка денге) </w:t>
      </w:r>
      <w:r w:rsidR="00010609">
        <w:t>-</w:t>
      </w:r>
      <w:r>
        <w:t xml:space="preserve"> в 2024 году реализовано 516 туров;</w:t>
      </w:r>
    </w:p>
    <w:p w:rsidR="003862DC" w:rsidRDefault="00BF0EED">
      <w:pPr>
        <w:ind w:left="252" w:right="0" w:firstLine="684"/>
      </w:pPr>
      <w:r>
        <w:t xml:space="preserve">Сейшельские острова (лихорадка денге) </w:t>
      </w:r>
      <w:r w:rsidR="00010609">
        <w:t>-</w:t>
      </w:r>
      <w:r>
        <w:t xml:space="preserve"> в 2024 году реализовано 195 туров.</w:t>
      </w:r>
    </w:p>
    <w:p w:rsidR="003862DC" w:rsidRDefault="00BF0EED" w:rsidP="00010609">
      <w:pPr>
        <w:ind w:left="142" w:right="0" w:firstLine="645"/>
      </w:pPr>
      <w:r>
        <w:t>Менее 100 туров в 2024 было оформлено в следующие страны:</w:t>
      </w:r>
      <w:r w:rsidR="00010609">
        <w:t xml:space="preserve"> </w:t>
      </w:r>
      <w:r>
        <w:t>Африка: Зимбабве (чума, холера), ЮАР (чума, холера), Кения</w:t>
      </w:r>
      <w:r w:rsidR="00010609">
        <w:t xml:space="preserve"> </w:t>
      </w:r>
      <w:r>
        <w:t>(чума, холера, лихорадка денге), Кабо-Верде (лихорадка денге),</w:t>
      </w:r>
    </w:p>
    <w:p w:rsidR="003862DC" w:rsidRDefault="00BF0EED" w:rsidP="00010609">
      <w:pPr>
        <w:ind w:left="175" w:right="0"/>
      </w:pPr>
      <w:r>
        <w:t>Марокко (Лихорадка Рифт-</w:t>
      </w:r>
      <w:proofErr w:type="spellStart"/>
      <w:r>
        <w:t>Валли</w:t>
      </w:r>
      <w:proofErr w:type="spellEnd"/>
      <w:r>
        <w:t>);</w:t>
      </w:r>
    </w:p>
    <w:p w:rsidR="003862DC" w:rsidRDefault="00BF0EED">
      <w:pPr>
        <w:ind w:left="172" w:right="0" w:firstLine="720"/>
      </w:pPr>
      <w:r>
        <w:t>Азия: Саудовская Аравия (Лихорадка Рифт-</w:t>
      </w:r>
      <w:proofErr w:type="spellStart"/>
      <w:r>
        <w:t>Валли</w:t>
      </w:r>
      <w:proofErr w:type="spellEnd"/>
      <w:r>
        <w:t xml:space="preserve">, Лихорадка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5764" name="Picture 5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" name="Picture 57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денге, </w:t>
      </w:r>
      <w:proofErr w:type="spellStart"/>
      <w:r>
        <w:t>Коронавирус</w:t>
      </w:r>
      <w:proofErr w:type="spellEnd"/>
      <w:r>
        <w:t xml:space="preserve"> ближневосточного респираторного синдрома), Камбоджа (холера, лихорадка денге), Гонконг (лихорадка денге), Пакистан (холера, лихорадка денге), Непал (холера, лихорадка денге), Тайвань (лихорадка денге), Иран (лихорадка денге), Оман (</w:t>
      </w:r>
      <w:proofErr w:type="spellStart"/>
      <w:r>
        <w:t>Коронавирус</w:t>
      </w:r>
      <w:proofErr w:type="spellEnd"/>
      <w:r>
        <w:t xml:space="preserve"> ближневосточного респираторного синдрома, лихорадка денге),</w:t>
      </w:r>
    </w:p>
    <w:p w:rsidR="00951F12" w:rsidRDefault="00BF0EED">
      <w:pPr>
        <w:ind w:left="172" w:right="0" w:firstLine="699"/>
      </w:pPr>
      <w:r>
        <w:t>Америка: Мексика (лихорадка денге), Аргентина (чума, лихорадка денге, желтая лихорадка), Бразилия (чума, лихорадка денге, желтая лихорадка), Доминиканская Республика (холера, лихорадка денге), Перу (чума, холера, лихорадка денге, желтая лихорадка).</w:t>
      </w:r>
    </w:p>
    <w:p w:rsidR="00951F12" w:rsidRDefault="00951F12" w:rsidP="00951F12"/>
    <w:p w:rsidR="003862DC" w:rsidRPr="00951F12" w:rsidRDefault="00951F12" w:rsidP="00951F12">
      <w:pPr>
        <w:ind w:left="142" w:firstLine="566"/>
        <w:rPr>
          <w:sz w:val="24"/>
          <w:szCs w:val="24"/>
        </w:rPr>
      </w:pPr>
      <w:r w:rsidRPr="00951F12">
        <w:rPr>
          <w:i/>
          <w:iCs/>
          <w:sz w:val="24"/>
          <w:szCs w:val="24"/>
        </w:rPr>
        <w:t xml:space="preserve">Информация подготовлена </w:t>
      </w:r>
      <w:bookmarkStart w:id="0" w:name="_GoBack"/>
      <w:bookmarkEnd w:id="0"/>
      <w:r w:rsidRPr="00951F12">
        <w:rPr>
          <w:i/>
          <w:iCs/>
          <w:sz w:val="24"/>
          <w:szCs w:val="24"/>
        </w:rPr>
        <w:t>на основании</w:t>
      </w:r>
      <w:r w:rsidRPr="00951F12">
        <w:rPr>
          <w:i/>
          <w:iCs/>
          <w:sz w:val="24"/>
          <w:szCs w:val="24"/>
        </w:rPr>
        <w:t xml:space="preserve"> письма государственного учреждения «Республиканский центр гигиены, эпидемиологии и общественного здоровья».</w:t>
      </w:r>
    </w:p>
    <w:sectPr w:rsidR="003862DC" w:rsidRPr="00951F12">
      <w:pgSz w:w="11920" w:h="16840"/>
      <w:pgMar w:top="580" w:right="627" w:bottom="324" w:left="16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394" o:spid="_x0000_i1038" type="#_x0000_t75" style="width:.7pt;height:.7pt;visibility:visible;mso-wrap-style:square" o:bullet="t">
        <v:imagedata r:id="rId1" o:title=""/>
      </v:shape>
    </w:pict>
  </w:numPicBullet>
  <w:abstractNum w:abstractNumId="0" w15:restartNumberingAfterBreak="0">
    <w:nsid w:val="76026BCF"/>
    <w:multiLevelType w:val="hybridMultilevel"/>
    <w:tmpl w:val="5D08676A"/>
    <w:lvl w:ilvl="0" w:tplc="C6380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44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FA4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DA9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8F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87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AB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05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A2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DC"/>
    <w:rsid w:val="00010609"/>
    <w:rsid w:val="00095CD8"/>
    <w:rsid w:val="00285480"/>
    <w:rsid w:val="003862DC"/>
    <w:rsid w:val="008E1B59"/>
    <w:rsid w:val="00951F12"/>
    <w:rsid w:val="00A41341"/>
    <w:rsid w:val="00BF0EED"/>
    <w:rsid w:val="00C762E2"/>
    <w:rsid w:val="00F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0A2E"/>
  <w15:docId w15:val="{CA0E1EAB-8420-47EF-9B99-C591966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51" w:lineRule="auto"/>
      <w:ind w:left="4937" w:right="346" w:hanging="3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E1B59"/>
    <w:pPr>
      <w:ind w:left="720"/>
      <w:contextualSpacing/>
    </w:pPr>
  </w:style>
  <w:style w:type="table" w:styleId="a4">
    <w:name w:val="Table Grid"/>
    <w:basedOn w:val="a1"/>
    <w:uiPriority w:val="39"/>
    <w:rsid w:val="008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CD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Людмила Адам.</dc:creator>
  <cp:keywords/>
  <cp:lastModifiedBy>Григоренко Людмила Адам.</cp:lastModifiedBy>
  <cp:revision>9</cp:revision>
  <cp:lastPrinted>2025-04-09T06:29:00Z</cp:lastPrinted>
  <dcterms:created xsi:type="dcterms:W3CDTF">2025-04-08T11:43:00Z</dcterms:created>
  <dcterms:modified xsi:type="dcterms:W3CDTF">2025-04-09T06:31:00Z</dcterms:modified>
</cp:coreProperties>
</file>